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F6" w:rsidRDefault="006D1A8B">
      <w:bookmarkStart w:id="0" w:name="_GoBack"/>
      <w:bookmarkEnd w:id="0"/>
    </w:p>
    <w:p w:rsidR="0018025F" w:rsidRPr="008A5F30" w:rsidRDefault="0018025F" w:rsidP="00E97C89">
      <w:pPr>
        <w:pStyle w:val="NormalWeb"/>
        <w:spacing w:before="0" w:beforeAutospacing="0" w:after="0" w:afterAutospacing="0"/>
        <w:ind w:left="720" w:hanging="720"/>
        <w:jc w:val="center"/>
        <w:rPr>
          <w:rFonts w:asciiTheme="minorHAnsi" w:eastAsiaTheme="minorEastAsia" w:hAnsiTheme="minorHAnsi"/>
          <w:b/>
          <w:bCs/>
          <w:i/>
          <w:color w:val="000000" w:themeColor="text1"/>
          <w:kern w:val="24"/>
          <w:sz w:val="28"/>
          <w:szCs w:val="28"/>
        </w:rPr>
      </w:pPr>
      <w:r w:rsidRPr="008A5F30">
        <w:rPr>
          <w:rFonts w:asciiTheme="minorHAnsi" w:eastAsiaTheme="minorEastAsia" w:hAnsiTheme="minorHAnsi"/>
          <w:b/>
          <w:bCs/>
          <w:i/>
          <w:color w:val="000000" w:themeColor="text1"/>
          <w:kern w:val="24"/>
          <w:sz w:val="28"/>
          <w:szCs w:val="28"/>
        </w:rPr>
        <w:t>Stimulating Real Estate Development through Public-Private Partnerships:</w:t>
      </w:r>
    </w:p>
    <w:p w:rsidR="0018025F" w:rsidRPr="008A5F30" w:rsidRDefault="00E97C89" w:rsidP="00E97C89">
      <w:pPr>
        <w:pStyle w:val="NormalWeb"/>
        <w:spacing w:before="0" w:beforeAutospacing="0" w:after="0" w:afterAutospacing="0"/>
        <w:ind w:left="720" w:hanging="720"/>
        <w:jc w:val="center"/>
        <w:rPr>
          <w:rFonts w:asciiTheme="minorHAnsi" w:eastAsiaTheme="minorEastAsia" w:hAnsiTheme="minorHAnsi"/>
          <w:b/>
          <w:bCs/>
          <w:i/>
          <w:color w:val="000000" w:themeColor="text1"/>
          <w:kern w:val="24"/>
          <w:sz w:val="28"/>
          <w:szCs w:val="28"/>
        </w:rPr>
      </w:pPr>
      <w:proofErr w:type="gramStart"/>
      <w:r>
        <w:rPr>
          <w:rFonts w:asciiTheme="minorHAnsi" w:eastAsiaTheme="minorEastAsia" w:hAnsiTheme="minorHAnsi"/>
          <w:b/>
          <w:bCs/>
          <w:i/>
          <w:color w:val="000000" w:themeColor="text1"/>
          <w:kern w:val="24"/>
          <w:sz w:val="28"/>
          <w:szCs w:val="28"/>
        </w:rPr>
        <w:t>Assessing the p</w:t>
      </w:r>
      <w:r w:rsidR="0018025F" w:rsidRPr="008A5F30">
        <w:rPr>
          <w:rFonts w:asciiTheme="minorHAnsi" w:eastAsiaTheme="minorEastAsia" w:hAnsiTheme="minorHAnsi"/>
          <w:b/>
          <w:bCs/>
          <w:i/>
          <w:color w:val="000000" w:themeColor="text1"/>
          <w:kern w:val="24"/>
          <w:sz w:val="28"/>
          <w:szCs w:val="28"/>
        </w:rPr>
        <w:t xml:space="preserve">erceived </w:t>
      </w:r>
      <w:r>
        <w:rPr>
          <w:rFonts w:asciiTheme="minorHAnsi" w:eastAsiaTheme="minorEastAsia" w:hAnsiTheme="minorHAnsi"/>
          <w:b/>
          <w:bCs/>
          <w:i/>
          <w:color w:val="000000" w:themeColor="text1"/>
          <w:kern w:val="24"/>
          <w:sz w:val="28"/>
          <w:szCs w:val="28"/>
        </w:rPr>
        <w:t>o</w:t>
      </w:r>
      <w:r w:rsidR="0018025F" w:rsidRPr="008A5F30">
        <w:rPr>
          <w:rFonts w:asciiTheme="minorHAnsi" w:eastAsiaTheme="minorEastAsia" w:hAnsiTheme="minorHAnsi"/>
          <w:b/>
          <w:bCs/>
          <w:i/>
          <w:color w:val="000000" w:themeColor="text1"/>
          <w:kern w:val="24"/>
          <w:sz w:val="28"/>
          <w:szCs w:val="28"/>
        </w:rPr>
        <w:t xml:space="preserve">pportunities and </w:t>
      </w:r>
      <w:r>
        <w:rPr>
          <w:rFonts w:asciiTheme="minorHAnsi" w:eastAsiaTheme="minorEastAsia" w:hAnsiTheme="minorHAnsi"/>
          <w:b/>
          <w:bCs/>
          <w:i/>
          <w:color w:val="000000" w:themeColor="text1"/>
          <w:kern w:val="24"/>
          <w:sz w:val="28"/>
          <w:szCs w:val="28"/>
        </w:rPr>
        <w:t>c</w:t>
      </w:r>
      <w:r w:rsidR="0018025F" w:rsidRPr="008A5F30">
        <w:rPr>
          <w:rFonts w:asciiTheme="minorHAnsi" w:eastAsiaTheme="minorEastAsia" w:hAnsiTheme="minorHAnsi"/>
          <w:b/>
          <w:bCs/>
          <w:i/>
          <w:color w:val="000000" w:themeColor="text1"/>
          <w:kern w:val="24"/>
          <w:sz w:val="28"/>
          <w:szCs w:val="28"/>
        </w:rPr>
        <w:t>hallenges</w:t>
      </w:r>
      <w:r>
        <w:rPr>
          <w:rFonts w:asciiTheme="minorHAnsi" w:eastAsiaTheme="minorEastAsia" w:hAnsiTheme="minorHAnsi"/>
          <w:b/>
          <w:bCs/>
          <w:i/>
          <w:color w:val="000000" w:themeColor="text1"/>
          <w:kern w:val="24"/>
          <w:sz w:val="28"/>
          <w:szCs w:val="28"/>
        </w:rPr>
        <w:t>.</w:t>
      </w:r>
      <w:proofErr w:type="gramEnd"/>
    </w:p>
    <w:p w:rsidR="0018025F" w:rsidRDefault="0018025F"/>
    <w:p w:rsidR="001A5232" w:rsidRPr="008A5F30" w:rsidRDefault="001A5232">
      <w:pPr>
        <w:rPr>
          <w:sz w:val="24"/>
          <w:szCs w:val="24"/>
        </w:rPr>
      </w:pPr>
      <w:r w:rsidRPr="008A5F30">
        <w:rPr>
          <w:sz w:val="24"/>
          <w:szCs w:val="24"/>
        </w:rPr>
        <w:t>By Suzanne Leland and Dustin Read</w:t>
      </w:r>
    </w:p>
    <w:p w:rsidR="00B91D1D" w:rsidRDefault="00B91D1D" w:rsidP="00DC3A7C">
      <w:pPr>
        <w:spacing w:line="240" w:lineRule="auto"/>
        <w:rPr>
          <w:b/>
          <w:sz w:val="24"/>
          <w:szCs w:val="24"/>
        </w:rPr>
      </w:pPr>
    </w:p>
    <w:p w:rsidR="0018025F" w:rsidRPr="00B91D1D" w:rsidRDefault="0018025F" w:rsidP="00DC3A7C">
      <w:pPr>
        <w:spacing w:line="240" w:lineRule="auto"/>
        <w:rPr>
          <w:b/>
          <w:sz w:val="24"/>
          <w:szCs w:val="24"/>
        </w:rPr>
      </w:pPr>
      <w:r w:rsidRPr="00B91D1D">
        <w:rPr>
          <w:b/>
          <w:sz w:val="24"/>
          <w:szCs w:val="24"/>
        </w:rPr>
        <w:t>Summary</w:t>
      </w:r>
    </w:p>
    <w:p w:rsidR="0018025F" w:rsidRPr="00B91D1D" w:rsidRDefault="0018025F" w:rsidP="00DC3A7C">
      <w:pPr>
        <w:spacing w:line="240" w:lineRule="auto"/>
        <w:rPr>
          <w:sz w:val="24"/>
          <w:szCs w:val="24"/>
        </w:rPr>
      </w:pPr>
      <w:r w:rsidRPr="00B91D1D">
        <w:rPr>
          <w:rFonts w:eastAsiaTheme="minorEastAsia"/>
          <w:bCs/>
          <w:color w:val="000000" w:themeColor="text1"/>
          <w:kern w:val="24"/>
          <w:sz w:val="24"/>
          <w:szCs w:val="24"/>
        </w:rPr>
        <w:t>Public-private partnerships to encourage real estate development have been praised as a means of addressing many complex social problems such as affordable housing, urban renewal, and transit-oriented development. But such partnerships involve trust and negotiation of both private and public sector parties and the merits of these approaches have often be called into question by those who are concerned about limited citizen involvement, high transaction costs and disparities that exist in negotiating power. These concerns threaten to undermine the legitimacy of public-private partnerships and limit their use</w:t>
      </w:r>
      <w:r w:rsidR="00816654">
        <w:rPr>
          <w:rFonts w:eastAsiaTheme="minorEastAsia"/>
          <w:bCs/>
          <w:color w:val="000000" w:themeColor="text1"/>
          <w:kern w:val="24"/>
          <w:sz w:val="24"/>
          <w:szCs w:val="24"/>
        </w:rPr>
        <w:t xml:space="preserve">.  </w:t>
      </w:r>
    </w:p>
    <w:p w:rsidR="00F039B0" w:rsidRDefault="00F039B0" w:rsidP="00DC3A7C">
      <w:pPr>
        <w:spacing w:line="240" w:lineRule="auto"/>
        <w:rPr>
          <w:b/>
          <w:sz w:val="24"/>
          <w:szCs w:val="24"/>
        </w:rPr>
      </w:pPr>
    </w:p>
    <w:p w:rsidR="0018025F" w:rsidRPr="00B91D1D" w:rsidRDefault="0018025F" w:rsidP="00DC3A7C">
      <w:pPr>
        <w:spacing w:line="240" w:lineRule="auto"/>
        <w:rPr>
          <w:b/>
          <w:sz w:val="24"/>
          <w:szCs w:val="24"/>
        </w:rPr>
      </w:pPr>
      <w:r w:rsidRPr="00B91D1D">
        <w:rPr>
          <w:b/>
          <w:sz w:val="24"/>
          <w:szCs w:val="24"/>
        </w:rPr>
        <w:t>Introduction</w:t>
      </w:r>
    </w:p>
    <w:p w:rsidR="00700D36" w:rsidRPr="00B91D1D" w:rsidRDefault="00700D36" w:rsidP="00DC3A7C">
      <w:pPr>
        <w:spacing w:line="240" w:lineRule="auto"/>
        <w:rPr>
          <w:sz w:val="24"/>
          <w:szCs w:val="24"/>
        </w:rPr>
      </w:pPr>
      <w:r w:rsidRPr="00B91D1D">
        <w:rPr>
          <w:sz w:val="24"/>
          <w:szCs w:val="24"/>
        </w:rPr>
        <w:t xml:space="preserve">Public-private partnerships are entered into by governments interested in utilizing their financial resources and regulatory powers in order to encourage </w:t>
      </w:r>
      <w:r w:rsidR="00063A1B" w:rsidRPr="00B91D1D">
        <w:rPr>
          <w:sz w:val="24"/>
          <w:szCs w:val="24"/>
        </w:rPr>
        <w:t xml:space="preserve">private </w:t>
      </w:r>
      <w:r w:rsidRPr="00B91D1D">
        <w:rPr>
          <w:sz w:val="24"/>
          <w:szCs w:val="24"/>
        </w:rPr>
        <w:t>real estate development in a targeted geographic area.</w:t>
      </w:r>
      <w:r w:rsidR="00063A1B" w:rsidRPr="00B91D1D">
        <w:rPr>
          <w:sz w:val="24"/>
          <w:szCs w:val="24"/>
        </w:rPr>
        <w:t xml:space="preserve">  Entering into such collaborative relationships between government and the private sector </w:t>
      </w:r>
      <w:r w:rsidRPr="00B91D1D">
        <w:rPr>
          <w:sz w:val="24"/>
          <w:szCs w:val="24"/>
        </w:rPr>
        <w:t>are often viewed as solutions to solving complex social problems such as urban renewal and transit oriented developments.  However,</w:t>
      </w:r>
      <w:r w:rsidR="00063A1B" w:rsidRPr="00B91D1D">
        <w:rPr>
          <w:sz w:val="24"/>
          <w:szCs w:val="24"/>
        </w:rPr>
        <w:t xml:space="preserve"> the benefits of these proposals </w:t>
      </w:r>
      <w:r w:rsidRPr="00B91D1D">
        <w:rPr>
          <w:sz w:val="24"/>
          <w:szCs w:val="24"/>
        </w:rPr>
        <w:t>have</w:t>
      </w:r>
      <w:r w:rsidR="00063A1B" w:rsidRPr="00B91D1D">
        <w:rPr>
          <w:sz w:val="24"/>
          <w:szCs w:val="24"/>
        </w:rPr>
        <w:t xml:space="preserve"> also</w:t>
      </w:r>
      <w:r w:rsidRPr="00B91D1D">
        <w:rPr>
          <w:sz w:val="24"/>
          <w:szCs w:val="24"/>
        </w:rPr>
        <w:t xml:space="preserve"> been called into question by those who fear that public involvement will not be sufficient or that significant transaction costs such as negotiating exist.  To look further into this concern that threatens to undermine the legitimacy of such partnerships, we examine </w:t>
      </w:r>
      <w:r w:rsidR="00063A1B" w:rsidRPr="00B91D1D">
        <w:rPr>
          <w:sz w:val="24"/>
          <w:szCs w:val="24"/>
        </w:rPr>
        <w:t>attitudes</w:t>
      </w:r>
      <w:r w:rsidRPr="00B91D1D">
        <w:rPr>
          <w:sz w:val="24"/>
          <w:szCs w:val="24"/>
        </w:rPr>
        <w:t xml:space="preserve"> of both public and private sector planners in a nationwide survey.</w:t>
      </w:r>
    </w:p>
    <w:p w:rsidR="0060571B" w:rsidRDefault="0018025F" w:rsidP="00DC3A7C">
      <w:pPr>
        <w:spacing w:line="240" w:lineRule="auto"/>
        <w:rPr>
          <w:sz w:val="24"/>
          <w:szCs w:val="24"/>
        </w:rPr>
      </w:pPr>
      <w:r w:rsidRPr="00B91D1D">
        <w:rPr>
          <w:sz w:val="24"/>
          <w:szCs w:val="24"/>
        </w:rPr>
        <w:t>To date, planners</w:t>
      </w:r>
      <w:r w:rsidR="00063A1B" w:rsidRPr="00B91D1D">
        <w:rPr>
          <w:sz w:val="24"/>
          <w:szCs w:val="24"/>
        </w:rPr>
        <w:t>’</w:t>
      </w:r>
      <w:r w:rsidRPr="00B91D1D">
        <w:rPr>
          <w:sz w:val="24"/>
          <w:szCs w:val="24"/>
        </w:rPr>
        <w:t xml:space="preserve"> attitudes about public-private partnerships in real estate collaboration have yet to be explored. In this paper, we systematically examine these attitudes that we believe are critical to the success of such ventures. </w:t>
      </w:r>
      <w:r w:rsidR="00816654">
        <w:rPr>
          <w:sz w:val="24"/>
          <w:szCs w:val="24"/>
        </w:rPr>
        <w:t xml:space="preserve">Data was collected from </w:t>
      </w:r>
      <w:r w:rsidR="00063A1B" w:rsidRPr="00B91D1D">
        <w:rPr>
          <w:sz w:val="24"/>
          <w:szCs w:val="24"/>
        </w:rPr>
        <w:t>over 1400 American Planning Association members</w:t>
      </w:r>
      <w:r w:rsidR="00816654">
        <w:rPr>
          <w:sz w:val="24"/>
          <w:szCs w:val="24"/>
        </w:rPr>
        <w:t xml:space="preserve"> who responded through an internet survey in the summer of 2009.  A</w:t>
      </w:r>
      <w:r w:rsidR="00063A1B" w:rsidRPr="00B91D1D">
        <w:rPr>
          <w:sz w:val="24"/>
          <w:szCs w:val="24"/>
        </w:rPr>
        <w:t xml:space="preserve"> series of empirical models </w:t>
      </w:r>
      <w:r w:rsidR="00816654">
        <w:rPr>
          <w:sz w:val="24"/>
          <w:szCs w:val="24"/>
        </w:rPr>
        <w:t xml:space="preserve">then </w:t>
      </w:r>
      <w:r w:rsidR="00063A1B" w:rsidRPr="00B91D1D">
        <w:rPr>
          <w:sz w:val="24"/>
          <w:szCs w:val="24"/>
        </w:rPr>
        <w:t>estimate</w:t>
      </w:r>
      <w:r w:rsidR="00816654">
        <w:rPr>
          <w:sz w:val="24"/>
          <w:szCs w:val="24"/>
        </w:rPr>
        <w:t>s</w:t>
      </w:r>
      <w:r w:rsidR="00063A1B" w:rsidRPr="00B91D1D">
        <w:rPr>
          <w:sz w:val="24"/>
          <w:szCs w:val="24"/>
        </w:rPr>
        <w:t xml:space="preserve"> the extent to which planners attitudes are influenced the sector they work in, their age, education, race, gender, and political ideology.  </w:t>
      </w:r>
    </w:p>
    <w:p w:rsidR="0060571B" w:rsidRDefault="00063A1B" w:rsidP="00DC3A7C">
      <w:pPr>
        <w:spacing w:line="240" w:lineRule="auto"/>
        <w:rPr>
          <w:sz w:val="24"/>
          <w:szCs w:val="24"/>
        </w:rPr>
      </w:pPr>
      <w:r w:rsidRPr="00B91D1D">
        <w:rPr>
          <w:sz w:val="24"/>
          <w:szCs w:val="24"/>
        </w:rPr>
        <w:t>The aim of the study is to examine the following research questions:</w:t>
      </w:r>
    </w:p>
    <w:p w:rsidR="00E417D0" w:rsidRPr="00B91D1D" w:rsidRDefault="00063A1B" w:rsidP="00DC3A7C">
      <w:pPr>
        <w:spacing w:line="240" w:lineRule="auto"/>
        <w:rPr>
          <w:sz w:val="24"/>
          <w:szCs w:val="24"/>
        </w:rPr>
      </w:pPr>
      <w:r w:rsidRPr="00B91D1D">
        <w:rPr>
          <w:sz w:val="24"/>
          <w:szCs w:val="24"/>
        </w:rPr>
        <w:t>1.</w:t>
      </w:r>
      <w:r w:rsidR="00E417D0" w:rsidRPr="00B91D1D">
        <w:rPr>
          <w:sz w:val="24"/>
          <w:szCs w:val="24"/>
        </w:rPr>
        <w:t xml:space="preserve"> </w:t>
      </w:r>
      <w:r w:rsidR="00331377" w:rsidRPr="00B91D1D">
        <w:rPr>
          <w:sz w:val="24"/>
          <w:szCs w:val="24"/>
        </w:rPr>
        <w:t xml:space="preserve">How does </w:t>
      </w:r>
      <w:r w:rsidR="00E417D0" w:rsidRPr="00B91D1D">
        <w:rPr>
          <w:sz w:val="24"/>
          <w:szCs w:val="24"/>
        </w:rPr>
        <w:t xml:space="preserve">the </w:t>
      </w:r>
      <w:r w:rsidR="00331377" w:rsidRPr="00B91D1D">
        <w:rPr>
          <w:sz w:val="24"/>
          <w:szCs w:val="24"/>
        </w:rPr>
        <w:t xml:space="preserve">sector of employment affect planners’ attitudes about public private-partnerships </w:t>
      </w:r>
      <w:r w:rsidR="00E417D0" w:rsidRPr="00B91D1D">
        <w:rPr>
          <w:sz w:val="24"/>
          <w:szCs w:val="24"/>
        </w:rPr>
        <w:t xml:space="preserve">in real estate development </w:t>
      </w:r>
      <w:r w:rsidR="00331377" w:rsidRPr="00B91D1D">
        <w:rPr>
          <w:sz w:val="24"/>
          <w:szCs w:val="24"/>
        </w:rPr>
        <w:t xml:space="preserve">to the extent professionals working for private </w:t>
      </w:r>
      <w:r w:rsidR="00E417D0" w:rsidRPr="00B91D1D">
        <w:rPr>
          <w:sz w:val="24"/>
          <w:szCs w:val="24"/>
        </w:rPr>
        <w:t>firms are influenced by market forces to a greater degree than those working in government?</w:t>
      </w:r>
    </w:p>
    <w:p w:rsidR="00063A1B" w:rsidRPr="00B91D1D" w:rsidRDefault="00063A1B" w:rsidP="00DC3A7C">
      <w:pPr>
        <w:spacing w:line="240" w:lineRule="auto"/>
        <w:rPr>
          <w:sz w:val="24"/>
          <w:szCs w:val="24"/>
        </w:rPr>
      </w:pPr>
      <w:r w:rsidRPr="00B91D1D">
        <w:rPr>
          <w:sz w:val="24"/>
          <w:szCs w:val="24"/>
        </w:rPr>
        <w:lastRenderedPageBreak/>
        <w:t>2.</w:t>
      </w:r>
      <w:r w:rsidR="00E417D0" w:rsidRPr="00B91D1D">
        <w:rPr>
          <w:sz w:val="24"/>
          <w:szCs w:val="24"/>
        </w:rPr>
        <w:t xml:space="preserve">  How do personal characteristics of planners such as age, race, gender, political ideology affect planners’ attitudes about public-private partner</w:t>
      </w:r>
      <w:r w:rsidR="0060571B">
        <w:rPr>
          <w:sz w:val="24"/>
          <w:szCs w:val="24"/>
        </w:rPr>
        <w:t>ship in real estate development</w:t>
      </w:r>
      <w:r w:rsidR="001A5232" w:rsidRPr="00B91D1D">
        <w:rPr>
          <w:sz w:val="24"/>
          <w:szCs w:val="24"/>
        </w:rPr>
        <w:t>?</w:t>
      </w:r>
      <w:r w:rsidR="00E417D0" w:rsidRPr="00B91D1D">
        <w:rPr>
          <w:sz w:val="24"/>
          <w:szCs w:val="24"/>
        </w:rPr>
        <w:t xml:space="preserve"> </w:t>
      </w:r>
    </w:p>
    <w:p w:rsidR="000A249E" w:rsidRPr="009667D4" w:rsidRDefault="000A249E" w:rsidP="00DC3A7C">
      <w:pPr>
        <w:pStyle w:val="EndnoteText"/>
        <w:jc w:val="both"/>
        <w:rPr>
          <w:sz w:val="24"/>
          <w:szCs w:val="24"/>
        </w:rPr>
      </w:pPr>
      <w:r>
        <w:rPr>
          <w:sz w:val="24"/>
          <w:szCs w:val="24"/>
        </w:rPr>
        <w:t xml:space="preserve">Table 1 </w:t>
      </w:r>
      <w:r w:rsidRPr="00717F15">
        <w:rPr>
          <w:i/>
          <w:sz w:val="24"/>
          <w:szCs w:val="24"/>
        </w:rPr>
        <w:t>Descriptive Statistics</w:t>
      </w:r>
    </w:p>
    <w:tbl>
      <w:tblPr>
        <w:tblStyle w:val="TableGrid"/>
        <w:tblW w:w="0" w:type="auto"/>
        <w:tblLayout w:type="fixed"/>
        <w:tblLook w:val="04A0" w:firstRow="1" w:lastRow="0" w:firstColumn="1" w:lastColumn="0" w:noHBand="0" w:noVBand="1"/>
      </w:tblPr>
      <w:tblGrid>
        <w:gridCol w:w="4968"/>
        <w:gridCol w:w="1080"/>
        <w:gridCol w:w="1170"/>
        <w:gridCol w:w="1170"/>
        <w:gridCol w:w="1188"/>
      </w:tblGrid>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Variable</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Mean</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Standard</w:t>
            </w:r>
          </w:p>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Deviation</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Minimum</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Maximum</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Liberal</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.41</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.49</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0</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Moderate</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.47</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.50</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0</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Age</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3.5</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3.5</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6</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Education</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3.7</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3.7</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Male</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.6</w:t>
            </w:r>
            <w:r>
              <w:rPr>
                <w:rFonts w:asciiTheme="majorHAnsi" w:eastAsia="Arial Unicode MS" w:hAnsiTheme="majorHAnsi" w:cs="Arial Unicode MS"/>
                <w:sz w:val="20"/>
                <w:szCs w:val="20"/>
              </w:rPr>
              <w:t>0</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.57</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0</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Caucasian </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.91</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.91</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0</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Public Sector</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.73</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.73</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0</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H</w:t>
            </w:r>
            <w:r w:rsidRPr="00CD364A">
              <w:rPr>
                <w:rFonts w:asciiTheme="majorHAnsi" w:eastAsia="Arial Unicode MS" w:hAnsiTheme="majorHAnsi" w:cs="Arial Unicode MS"/>
                <w:sz w:val="20"/>
                <w:szCs w:val="20"/>
              </w:rPr>
              <w:t>1</w:t>
            </w:r>
            <w:r>
              <w:rPr>
                <w:rFonts w:asciiTheme="majorHAnsi" w:eastAsia="Arial Unicode MS" w:hAnsiTheme="majorHAnsi" w:cs="Arial Unicode MS"/>
                <w:sz w:val="20"/>
                <w:szCs w:val="20"/>
              </w:rPr>
              <w:t>:</w:t>
            </w:r>
            <w:r w:rsidRPr="00CD364A">
              <w:rPr>
                <w:rFonts w:asciiTheme="majorHAnsi" w:eastAsia="Arial Unicode MS" w:hAnsiTheme="majorHAnsi" w:cs="Arial Unicode MS"/>
                <w:sz w:val="20"/>
                <w:szCs w:val="20"/>
              </w:rPr>
              <w:t xml:space="preserve"> </w:t>
            </w:r>
            <w:r>
              <w:rPr>
                <w:rFonts w:asciiTheme="majorHAnsi" w:eastAsia="Arial Unicode MS" w:hAnsiTheme="majorHAnsi" w:cs="Arial Unicode MS"/>
                <w:sz w:val="20"/>
                <w:szCs w:val="20"/>
              </w:rPr>
              <w:t>Government Should Seek Out PPPs</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3.1</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.74</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H2: Government Should Seek Public Input</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3.3</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.73</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H3: </w:t>
            </w:r>
            <w:r w:rsidRPr="00CD364A">
              <w:rPr>
                <w:rFonts w:asciiTheme="majorHAnsi" w:eastAsia="Arial Unicode MS" w:hAnsiTheme="majorHAnsi" w:cs="Arial Unicode MS"/>
                <w:sz w:val="20"/>
                <w:szCs w:val="20"/>
              </w:rPr>
              <w:t xml:space="preserve">Monitoring Costs </w:t>
            </w:r>
            <w:r>
              <w:rPr>
                <w:rFonts w:asciiTheme="majorHAnsi" w:eastAsia="Arial Unicode MS" w:hAnsiTheme="majorHAnsi" w:cs="Arial Unicode MS"/>
                <w:sz w:val="20"/>
                <w:szCs w:val="20"/>
              </w:rPr>
              <w:t>are Problematic</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2.5</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.75</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H4: </w:t>
            </w:r>
            <w:r w:rsidRPr="00CD364A">
              <w:rPr>
                <w:rFonts w:asciiTheme="majorHAnsi" w:eastAsia="Arial Unicode MS" w:hAnsiTheme="majorHAnsi" w:cs="Arial Unicode MS"/>
                <w:sz w:val="20"/>
                <w:szCs w:val="20"/>
              </w:rPr>
              <w:t xml:space="preserve">Negotiating Costs </w:t>
            </w:r>
            <w:r>
              <w:rPr>
                <w:rFonts w:asciiTheme="majorHAnsi" w:eastAsia="Arial Unicode MS" w:hAnsiTheme="majorHAnsi" w:cs="Arial Unicode MS"/>
                <w:sz w:val="20"/>
                <w:szCs w:val="20"/>
              </w:rPr>
              <w:t xml:space="preserve">are Problematic </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2.5</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.74</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H5: PPPs </w:t>
            </w:r>
            <w:r w:rsidRPr="00CD364A">
              <w:rPr>
                <w:rFonts w:asciiTheme="majorHAnsi" w:eastAsia="Arial Unicode MS" w:hAnsiTheme="majorHAnsi" w:cs="Arial Unicode MS"/>
                <w:sz w:val="20"/>
                <w:szCs w:val="20"/>
              </w:rPr>
              <w:t>Benefit Disadvantaged</w:t>
            </w:r>
            <w:r>
              <w:rPr>
                <w:rFonts w:asciiTheme="majorHAnsi" w:eastAsia="Arial Unicode MS" w:hAnsiTheme="majorHAnsi" w:cs="Arial Unicode MS"/>
                <w:sz w:val="20"/>
                <w:szCs w:val="20"/>
              </w:rPr>
              <w:t xml:space="preserve"> Groups</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2.4</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.74</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w:t>
            </w:r>
          </w:p>
        </w:tc>
      </w:tr>
      <w:tr w:rsidR="000A249E" w:rsidRPr="006D08C6" w:rsidTr="004A029E">
        <w:tc>
          <w:tcPr>
            <w:tcW w:w="4968" w:type="dxa"/>
          </w:tcPr>
          <w:p w:rsidR="000A249E" w:rsidRPr="00CD364A"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H6: PPPs </w:t>
            </w:r>
            <w:r w:rsidRPr="00CD364A">
              <w:rPr>
                <w:rFonts w:asciiTheme="majorHAnsi" w:eastAsia="Arial Unicode MS" w:hAnsiTheme="majorHAnsi" w:cs="Arial Unicode MS"/>
                <w:sz w:val="20"/>
                <w:szCs w:val="20"/>
              </w:rPr>
              <w:t xml:space="preserve">Encourage </w:t>
            </w:r>
            <w:r>
              <w:rPr>
                <w:rFonts w:asciiTheme="majorHAnsi" w:eastAsia="Arial Unicode MS" w:hAnsiTheme="majorHAnsi" w:cs="Arial Unicode MS"/>
                <w:sz w:val="20"/>
                <w:szCs w:val="20"/>
              </w:rPr>
              <w:t>D</w:t>
            </w:r>
            <w:r w:rsidRPr="00CD364A">
              <w:rPr>
                <w:rFonts w:asciiTheme="majorHAnsi" w:eastAsia="Arial Unicode MS" w:hAnsiTheme="majorHAnsi" w:cs="Arial Unicode MS"/>
                <w:sz w:val="20"/>
                <w:szCs w:val="20"/>
              </w:rPr>
              <w:t>iversity</w:t>
            </w:r>
          </w:p>
        </w:tc>
        <w:tc>
          <w:tcPr>
            <w:tcW w:w="108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2.5</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.75</w:t>
            </w:r>
          </w:p>
        </w:tc>
        <w:tc>
          <w:tcPr>
            <w:tcW w:w="1170"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1</w:t>
            </w:r>
          </w:p>
        </w:tc>
        <w:tc>
          <w:tcPr>
            <w:tcW w:w="1188" w:type="dxa"/>
          </w:tcPr>
          <w:p w:rsidR="000A249E" w:rsidRPr="00CD364A" w:rsidRDefault="000A249E" w:rsidP="00DC3A7C">
            <w:pPr>
              <w:jc w:val="center"/>
              <w:rPr>
                <w:rFonts w:asciiTheme="majorHAnsi" w:eastAsia="Arial Unicode MS" w:hAnsiTheme="majorHAnsi" w:cs="Arial Unicode MS"/>
                <w:sz w:val="20"/>
                <w:szCs w:val="20"/>
              </w:rPr>
            </w:pPr>
            <w:r w:rsidRPr="00CD364A">
              <w:rPr>
                <w:rFonts w:asciiTheme="majorHAnsi" w:eastAsia="Arial Unicode MS" w:hAnsiTheme="majorHAnsi" w:cs="Arial Unicode MS"/>
                <w:sz w:val="20"/>
                <w:szCs w:val="20"/>
              </w:rPr>
              <w:t>4</w:t>
            </w:r>
          </w:p>
        </w:tc>
      </w:tr>
    </w:tbl>
    <w:p w:rsidR="000A249E" w:rsidRDefault="000A249E" w:rsidP="00DC3A7C">
      <w:pPr>
        <w:spacing w:line="240" w:lineRule="auto"/>
        <w:rPr>
          <w:sz w:val="24"/>
          <w:szCs w:val="24"/>
        </w:rPr>
      </w:pPr>
    </w:p>
    <w:p w:rsidR="0018025F" w:rsidRPr="000A249E" w:rsidRDefault="00063A1B" w:rsidP="00DC3A7C">
      <w:pPr>
        <w:spacing w:line="240" w:lineRule="auto"/>
        <w:rPr>
          <w:b/>
          <w:sz w:val="24"/>
          <w:szCs w:val="24"/>
        </w:rPr>
      </w:pPr>
      <w:r w:rsidRPr="00B91D1D">
        <w:rPr>
          <w:b/>
          <w:sz w:val="24"/>
          <w:szCs w:val="24"/>
        </w:rPr>
        <w:t>Results</w:t>
      </w:r>
    </w:p>
    <w:p w:rsidR="000A249E" w:rsidRDefault="000A249E" w:rsidP="00DC3A7C">
      <w:pPr>
        <w:spacing w:line="240" w:lineRule="auto"/>
        <w:rPr>
          <w:sz w:val="24"/>
          <w:szCs w:val="24"/>
        </w:rPr>
      </w:pPr>
      <w:r>
        <w:rPr>
          <w:sz w:val="24"/>
          <w:szCs w:val="24"/>
        </w:rPr>
        <w:t xml:space="preserve">Table 1 illustrates the average response for each statement on a scale of 1-4, where “1” is strongly disagree, a “2” is somewhat disagree, a “3” indicates somewhat agree and a “4” means the respondent strongly agrees. Table2 demonstrates the frequency distributions for the responses for each of the six statements. </w:t>
      </w:r>
    </w:p>
    <w:p w:rsidR="000A249E" w:rsidRDefault="000A249E" w:rsidP="00DC3A7C">
      <w:pPr>
        <w:spacing w:line="240" w:lineRule="auto"/>
        <w:jc w:val="both"/>
        <w:rPr>
          <w:rFonts w:asciiTheme="majorHAnsi" w:eastAsia="Arial Unicode MS" w:hAnsiTheme="majorHAnsi" w:cs="Arial Unicode MS"/>
          <w:i/>
          <w:sz w:val="24"/>
          <w:szCs w:val="24"/>
        </w:rPr>
      </w:pPr>
      <w:r>
        <w:rPr>
          <w:rFonts w:asciiTheme="majorHAnsi" w:eastAsia="Arial Unicode MS" w:hAnsiTheme="majorHAnsi" w:cs="Arial Unicode MS"/>
          <w:sz w:val="24"/>
          <w:szCs w:val="24"/>
        </w:rPr>
        <w:t xml:space="preserve">Table 2 </w:t>
      </w:r>
      <w:r>
        <w:rPr>
          <w:rFonts w:asciiTheme="majorHAnsi" w:eastAsia="Arial Unicode MS" w:hAnsiTheme="majorHAnsi" w:cs="Arial Unicode MS"/>
          <w:i/>
          <w:sz w:val="24"/>
          <w:szCs w:val="24"/>
        </w:rPr>
        <w:t>Frequency Distributions for the Responses to All Six Statements</w:t>
      </w:r>
      <w:r>
        <w:rPr>
          <w:rStyle w:val="FootnoteReference"/>
          <w:rFonts w:asciiTheme="majorHAnsi" w:eastAsia="Arial Unicode MS" w:hAnsiTheme="majorHAnsi" w:cs="Arial Unicode MS"/>
          <w:b/>
          <w:sz w:val="20"/>
          <w:szCs w:val="20"/>
        </w:rPr>
        <w:footnoteReference w:id="1"/>
      </w:r>
    </w:p>
    <w:tbl>
      <w:tblPr>
        <w:tblStyle w:val="TableGrid"/>
        <w:tblW w:w="0" w:type="auto"/>
        <w:tblLook w:val="04A0" w:firstRow="1" w:lastRow="0" w:firstColumn="1" w:lastColumn="0" w:noHBand="0" w:noVBand="1"/>
      </w:tblPr>
      <w:tblGrid>
        <w:gridCol w:w="3618"/>
        <w:gridCol w:w="990"/>
        <w:gridCol w:w="990"/>
        <w:gridCol w:w="990"/>
        <w:gridCol w:w="990"/>
        <w:gridCol w:w="990"/>
        <w:gridCol w:w="1008"/>
      </w:tblGrid>
      <w:tr w:rsidR="000A249E" w:rsidTr="004A029E">
        <w:tc>
          <w:tcPr>
            <w:tcW w:w="3618" w:type="dxa"/>
            <w:tcBorders>
              <w:top w:val="single" w:sz="4" w:space="0" w:color="auto"/>
              <w:left w:val="single" w:sz="4" w:space="0" w:color="auto"/>
              <w:bottom w:val="single" w:sz="4" w:space="0" w:color="auto"/>
              <w:right w:val="single" w:sz="4" w:space="0" w:color="auto"/>
            </w:tcBorders>
          </w:tcPr>
          <w:p w:rsidR="000A249E"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Response </w:t>
            </w:r>
          </w:p>
          <w:p w:rsidR="000A249E" w:rsidRDefault="000A249E" w:rsidP="00DC3A7C">
            <w:pPr>
              <w:rPr>
                <w:rFonts w:asciiTheme="majorHAnsi" w:eastAsia="Arial Unicode MS" w:hAnsiTheme="majorHAnsi" w:cs="Arial Unicode MS"/>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H1</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H2</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H3</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H4</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H5</w:t>
            </w:r>
          </w:p>
        </w:tc>
        <w:tc>
          <w:tcPr>
            <w:tcW w:w="1008"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H6</w:t>
            </w:r>
          </w:p>
        </w:tc>
      </w:tr>
      <w:tr w:rsidR="000A249E" w:rsidTr="004A029E">
        <w:tc>
          <w:tcPr>
            <w:tcW w:w="3618" w:type="dxa"/>
            <w:tcBorders>
              <w:top w:val="single" w:sz="4" w:space="0" w:color="auto"/>
              <w:left w:val="single" w:sz="4" w:space="0" w:color="auto"/>
              <w:bottom w:val="single" w:sz="4" w:space="0" w:color="auto"/>
              <w:right w:val="single" w:sz="4" w:space="0" w:color="auto"/>
            </w:tcBorders>
            <w:hideMark/>
          </w:tcPr>
          <w:p w:rsidR="000A249E"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Strongly Disagree</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41 </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20 </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(2%)</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94</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(7%)</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107</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(8%)</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148</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(11%)</w:t>
            </w:r>
          </w:p>
        </w:tc>
        <w:tc>
          <w:tcPr>
            <w:tcW w:w="1008"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126</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(9%)</w:t>
            </w:r>
          </w:p>
        </w:tc>
      </w:tr>
      <w:tr w:rsidR="000A249E" w:rsidTr="004A029E">
        <w:tc>
          <w:tcPr>
            <w:tcW w:w="3618" w:type="dxa"/>
            <w:tcBorders>
              <w:top w:val="single" w:sz="4" w:space="0" w:color="auto"/>
              <w:left w:val="single" w:sz="4" w:space="0" w:color="auto"/>
              <w:bottom w:val="single" w:sz="4" w:space="0" w:color="auto"/>
              <w:right w:val="single" w:sz="4" w:space="0" w:color="auto"/>
            </w:tcBorders>
            <w:hideMark/>
          </w:tcPr>
          <w:p w:rsidR="000A249E"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Somewhat disagree</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208 (15%)</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181 (13%)</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601</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(42%)</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628</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(45%)</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622</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(45%)</w:t>
            </w:r>
          </w:p>
        </w:tc>
        <w:tc>
          <w:tcPr>
            <w:tcW w:w="1008"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579</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(42%)</w:t>
            </w:r>
          </w:p>
        </w:tc>
      </w:tr>
      <w:tr w:rsidR="000A249E" w:rsidTr="004A029E">
        <w:tc>
          <w:tcPr>
            <w:tcW w:w="3618" w:type="dxa"/>
            <w:tcBorders>
              <w:top w:val="single" w:sz="4" w:space="0" w:color="auto"/>
              <w:left w:val="single" w:sz="4" w:space="0" w:color="auto"/>
              <w:bottom w:val="single" w:sz="4" w:space="0" w:color="auto"/>
              <w:right w:val="single" w:sz="4" w:space="0" w:color="auto"/>
            </w:tcBorders>
            <w:hideMark/>
          </w:tcPr>
          <w:p w:rsidR="000A249E"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Somewhat agree</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732 (52%)</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589 (42%)</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557</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(40%)</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527</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(39)</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532</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(39%)</w:t>
            </w:r>
          </w:p>
        </w:tc>
        <w:tc>
          <w:tcPr>
            <w:tcW w:w="1008"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575</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(42%)</w:t>
            </w:r>
          </w:p>
        </w:tc>
      </w:tr>
      <w:tr w:rsidR="000A249E" w:rsidTr="004A029E">
        <w:tc>
          <w:tcPr>
            <w:tcW w:w="3618" w:type="dxa"/>
            <w:tcBorders>
              <w:top w:val="single" w:sz="4" w:space="0" w:color="auto"/>
              <w:left w:val="single" w:sz="4" w:space="0" w:color="auto"/>
              <w:bottom w:val="single" w:sz="4" w:space="0" w:color="auto"/>
              <w:right w:val="single" w:sz="4" w:space="0" w:color="auto"/>
            </w:tcBorders>
            <w:hideMark/>
          </w:tcPr>
          <w:p w:rsidR="000A249E" w:rsidRDefault="000A249E" w:rsidP="00DC3A7C">
            <w:pPr>
              <w:rPr>
                <w:rFonts w:asciiTheme="majorHAnsi" w:eastAsia="Arial Unicode MS" w:hAnsiTheme="majorHAnsi" w:cs="Arial Unicode MS"/>
                <w:sz w:val="20"/>
                <w:szCs w:val="20"/>
              </w:rPr>
            </w:pPr>
            <w:r>
              <w:rPr>
                <w:rFonts w:asciiTheme="majorHAnsi" w:eastAsia="Arial Unicode MS" w:hAnsiTheme="majorHAnsi" w:cs="Arial Unicode MS"/>
                <w:sz w:val="20"/>
                <w:szCs w:val="20"/>
              </w:rPr>
              <w:t>Strongly agree</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414 (30%)</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605</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(43%)</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125 (9%)</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106</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(8%)</w:t>
            </w:r>
          </w:p>
        </w:tc>
        <w:tc>
          <w:tcPr>
            <w:tcW w:w="990"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 xml:space="preserve">67 </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(5%)</w:t>
            </w:r>
          </w:p>
        </w:tc>
        <w:tc>
          <w:tcPr>
            <w:tcW w:w="1008" w:type="dxa"/>
            <w:tcBorders>
              <w:top w:val="single" w:sz="4" w:space="0" w:color="auto"/>
              <w:left w:val="single" w:sz="4" w:space="0" w:color="auto"/>
              <w:bottom w:val="single" w:sz="4" w:space="0" w:color="auto"/>
              <w:right w:val="single" w:sz="4" w:space="0" w:color="auto"/>
            </w:tcBorders>
            <w:hideMark/>
          </w:tcPr>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91</w:t>
            </w:r>
          </w:p>
          <w:p w:rsidR="000A249E" w:rsidRDefault="000A249E" w:rsidP="00DC3A7C">
            <w:pPr>
              <w:jc w:val="center"/>
              <w:rPr>
                <w:rFonts w:asciiTheme="majorHAnsi" w:eastAsia="Arial Unicode MS" w:hAnsiTheme="majorHAnsi" w:cs="Arial Unicode MS"/>
                <w:sz w:val="20"/>
                <w:szCs w:val="20"/>
              </w:rPr>
            </w:pPr>
            <w:r>
              <w:rPr>
                <w:rFonts w:asciiTheme="majorHAnsi" w:eastAsia="Arial Unicode MS" w:hAnsiTheme="majorHAnsi" w:cs="Arial Unicode MS"/>
                <w:sz w:val="20"/>
                <w:szCs w:val="20"/>
              </w:rPr>
              <w:t>(7%)</w:t>
            </w:r>
          </w:p>
        </w:tc>
      </w:tr>
    </w:tbl>
    <w:p w:rsidR="000A249E" w:rsidRDefault="000A249E" w:rsidP="00DC3A7C">
      <w:pPr>
        <w:spacing w:line="240" w:lineRule="auto"/>
        <w:rPr>
          <w:sz w:val="24"/>
          <w:szCs w:val="24"/>
        </w:rPr>
      </w:pPr>
    </w:p>
    <w:p w:rsidR="000A249E" w:rsidRPr="000A249E" w:rsidRDefault="000A249E" w:rsidP="00DC3A7C">
      <w:pPr>
        <w:spacing w:line="240" w:lineRule="auto"/>
        <w:rPr>
          <w:i/>
          <w:sz w:val="24"/>
          <w:szCs w:val="24"/>
        </w:rPr>
      </w:pPr>
      <w:r w:rsidRPr="00B91D1D">
        <w:rPr>
          <w:i/>
          <w:sz w:val="24"/>
          <w:szCs w:val="24"/>
        </w:rPr>
        <w:t>Collaboration</w:t>
      </w:r>
    </w:p>
    <w:p w:rsidR="0018025F" w:rsidRDefault="0018025F" w:rsidP="00DC3A7C">
      <w:pPr>
        <w:spacing w:line="240" w:lineRule="auto"/>
        <w:rPr>
          <w:rFonts w:eastAsiaTheme="minorEastAsia"/>
          <w:color w:val="000000" w:themeColor="text1"/>
          <w:kern w:val="24"/>
          <w:sz w:val="24"/>
          <w:szCs w:val="24"/>
        </w:rPr>
      </w:pPr>
      <w:r w:rsidRPr="00B91D1D">
        <w:rPr>
          <w:sz w:val="24"/>
          <w:szCs w:val="24"/>
        </w:rPr>
        <w:t>When we ask</w:t>
      </w:r>
      <w:r w:rsidR="001A5232" w:rsidRPr="00B91D1D">
        <w:rPr>
          <w:sz w:val="24"/>
          <w:szCs w:val="24"/>
        </w:rPr>
        <w:t>ed</w:t>
      </w:r>
      <w:r w:rsidRPr="00B91D1D">
        <w:rPr>
          <w:sz w:val="24"/>
          <w:szCs w:val="24"/>
        </w:rPr>
        <w:t xml:space="preserve"> both public and private </w:t>
      </w:r>
      <w:r w:rsidR="00E417D0" w:rsidRPr="00B91D1D">
        <w:rPr>
          <w:sz w:val="24"/>
          <w:szCs w:val="24"/>
        </w:rPr>
        <w:t>sector</w:t>
      </w:r>
      <w:r w:rsidRPr="00B91D1D">
        <w:rPr>
          <w:sz w:val="24"/>
          <w:szCs w:val="24"/>
        </w:rPr>
        <w:t xml:space="preserve"> planners if “Local </w:t>
      </w:r>
      <w:r w:rsidRPr="00B91D1D">
        <w:rPr>
          <w:rFonts w:eastAsiaTheme="minorEastAsia"/>
          <w:color w:val="000000" w:themeColor="text1"/>
          <w:kern w:val="24"/>
          <w:sz w:val="24"/>
          <w:szCs w:val="24"/>
        </w:rPr>
        <w:t>government should actively seek out opportunities to collabora</w:t>
      </w:r>
      <w:r w:rsidR="001A5232" w:rsidRPr="00B91D1D">
        <w:rPr>
          <w:rFonts w:eastAsiaTheme="minorEastAsia"/>
          <w:color w:val="000000" w:themeColor="text1"/>
          <w:kern w:val="24"/>
          <w:sz w:val="24"/>
          <w:szCs w:val="24"/>
        </w:rPr>
        <w:t>te with real estate developers,</w:t>
      </w:r>
      <w:r w:rsidRPr="00B91D1D">
        <w:rPr>
          <w:rFonts w:eastAsiaTheme="minorEastAsia"/>
          <w:color w:val="000000" w:themeColor="text1"/>
          <w:kern w:val="24"/>
          <w:sz w:val="24"/>
          <w:szCs w:val="24"/>
        </w:rPr>
        <w:t>”</w:t>
      </w:r>
      <w:r w:rsidR="0060571B">
        <w:rPr>
          <w:rFonts w:eastAsiaTheme="minorEastAsia"/>
          <w:color w:val="000000" w:themeColor="text1"/>
          <w:kern w:val="24"/>
          <w:sz w:val="24"/>
          <w:szCs w:val="24"/>
        </w:rPr>
        <w:t xml:space="preserve"> we find that about eighty-two percent of those surveyed agreed with this statement</w:t>
      </w:r>
      <w:r w:rsidR="000A249E">
        <w:rPr>
          <w:rFonts w:eastAsiaTheme="minorEastAsia"/>
          <w:color w:val="000000" w:themeColor="text1"/>
          <w:kern w:val="24"/>
          <w:sz w:val="24"/>
          <w:szCs w:val="24"/>
        </w:rPr>
        <w:t xml:space="preserve"> (See table2)</w:t>
      </w:r>
      <w:r w:rsidR="0060571B">
        <w:rPr>
          <w:rFonts w:eastAsiaTheme="minorEastAsia"/>
          <w:color w:val="000000" w:themeColor="text1"/>
          <w:kern w:val="24"/>
          <w:sz w:val="24"/>
          <w:szCs w:val="24"/>
        </w:rPr>
        <w:t>.  W</w:t>
      </w:r>
      <w:r w:rsidR="001A5232" w:rsidRPr="00B91D1D">
        <w:rPr>
          <w:rFonts w:eastAsiaTheme="minorEastAsia"/>
          <w:color w:val="000000" w:themeColor="text1"/>
          <w:kern w:val="24"/>
          <w:sz w:val="24"/>
          <w:szCs w:val="24"/>
        </w:rPr>
        <w:t>e</w:t>
      </w:r>
      <w:r w:rsidRPr="00B91D1D">
        <w:rPr>
          <w:rFonts w:eastAsiaTheme="minorEastAsia"/>
          <w:color w:val="000000" w:themeColor="text1"/>
          <w:kern w:val="24"/>
          <w:sz w:val="24"/>
          <w:szCs w:val="24"/>
        </w:rPr>
        <w:t xml:space="preserve"> </w:t>
      </w:r>
      <w:r w:rsidR="0060571B">
        <w:rPr>
          <w:rFonts w:eastAsiaTheme="minorEastAsia"/>
          <w:color w:val="000000" w:themeColor="text1"/>
          <w:kern w:val="24"/>
          <w:sz w:val="24"/>
          <w:szCs w:val="24"/>
        </w:rPr>
        <w:t xml:space="preserve">also </w:t>
      </w:r>
      <w:r w:rsidRPr="00B91D1D">
        <w:rPr>
          <w:rFonts w:eastAsiaTheme="minorEastAsia"/>
          <w:color w:val="000000" w:themeColor="text1"/>
          <w:kern w:val="24"/>
          <w:sz w:val="24"/>
          <w:szCs w:val="24"/>
        </w:rPr>
        <w:t>find tha</w:t>
      </w:r>
      <w:r w:rsidR="00E417D0" w:rsidRPr="00B91D1D">
        <w:rPr>
          <w:rFonts w:eastAsiaTheme="minorEastAsia"/>
          <w:color w:val="000000" w:themeColor="text1"/>
          <w:kern w:val="24"/>
          <w:sz w:val="24"/>
          <w:szCs w:val="24"/>
        </w:rPr>
        <w:t xml:space="preserve">t public sector, moderate and liberal, and female planners are more likely to </w:t>
      </w:r>
      <w:r w:rsidR="0060571B">
        <w:rPr>
          <w:rFonts w:eastAsiaTheme="minorEastAsia"/>
          <w:color w:val="000000" w:themeColor="text1"/>
          <w:kern w:val="24"/>
          <w:sz w:val="24"/>
          <w:szCs w:val="24"/>
        </w:rPr>
        <w:t xml:space="preserve">“strongly </w:t>
      </w:r>
      <w:r w:rsidR="00E417D0" w:rsidRPr="00B91D1D">
        <w:rPr>
          <w:rFonts w:eastAsiaTheme="minorEastAsia"/>
          <w:color w:val="000000" w:themeColor="text1"/>
          <w:kern w:val="24"/>
          <w:sz w:val="24"/>
          <w:szCs w:val="24"/>
        </w:rPr>
        <w:t>agree</w:t>
      </w:r>
      <w:r w:rsidR="0060571B">
        <w:rPr>
          <w:rFonts w:eastAsiaTheme="minorEastAsia"/>
          <w:color w:val="000000" w:themeColor="text1"/>
          <w:kern w:val="24"/>
          <w:sz w:val="24"/>
          <w:szCs w:val="24"/>
        </w:rPr>
        <w:t>”</w:t>
      </w:r>
      <w:r w:rsidR="00E417D0" w:rsidRPr="00B91D1D">
        <w:rPr>
          <w:rFonts w:eastAsiaTheme="minorEastAsia"/>
          <w:color w:val="000000" w:themeColor="text1"/>
          <w:kern w:val="24"/>
          <w:sz w:val="24"/>
          <w:szCs w:val="24"/>
        </w:rPr>
        <w:t xml:space="preserve"> with this statement</w:t>
      </w:r>
      <w:r w:rsidR="0060571B">
        <w:rPr>
          <w:rFonts w:eastAsiaTheme="minorEastAsia"/>
          <w:color w:val="000000" w:themeColor="text1"/>
          <w:kern w:val="24"/>
          <w:sz w:val="24"/>
          <w:szCs w:val="24"/>
        </w:rPr>
        <w:t xml:space="preserve"> than “somewhat agree” than their counterparts</w:t>
      </w:r>
      <w:r w:rsidR="00E417D0" w:rsidRPr="00B91D1D">
        <w:rPr>
          <w:rFonts w:eastAsiaTheme="minorEastAsia"/>
          <w:color w:val="000000" w:themeColor="text1"/>
          <w:kern w:val="24"/>
          <w:sz w:val="24"/>
          <w:szCs w:val="24"/>
        </w:rPr>
        <w:t xml:space="preserve">.  The finding about sector is of </w:t>
      </w:r>
      <w:r w:rsidR="00E417D0" w:rsidRPr="00B91D1D">
        <w:rPr>
          <w:rFonts w:eastAsiaTheme="minorEastAsia"/>
          <w:color w:val="000000" w:themeColor="text1"/>
          <w:kern w:val="24"/>
          <w:sz w:val="24"/>
          <w:szCs w:val="24"/>
        </w:rPr>
        <w:lastRenderedPageBreak/>
        <w:t xml:space="preserve">interest because it demonstrates that </w:t>
      </w:r>
      <w:r w:rsidR="00FE2F39" w:rsidRPr="00B91D1D">
        <w:rPr>
          <w:rFonts w:eastAsiaTheme="minorEastAsia"/>
          <w:color w:val="000000" w:themeColor="text1"/>
          <w:kern w:val="24"/>
          <w:sz w:val="24"/>
          <w:szCs w:val="24"/>
        </w:rPr>
        <w:t xml:space="preserve">the private sector is more tolerant of risk and motivated by market forces to a greater degree than those who work for government. </w:t>
      </w:r>
    </w:p>
    <w:p w:rsidR="0018025F" w:rsidRPr="00B91D1D" w:rsidRDefault="0018025F" w:rsidP="00DC3A7C">
      <w:pPr>
        <w:spacing w:line="240" w:lineRule="auto"/>
        <w:rPr>
          <w:rFonts w:eastAsiaTheme="minorEastAsia"/>
          <w:i/>
          <w:color w:val="000000" w:themeColor="text1"/>
          <w:kern w:val="24"/>
          <w:sz w:val="24"/>
          <w:szCs w:val="24"/>
        </w:rPr>
      </w:pPr>
      <w:r w:rsidRPr="00B91D1D">
        <w:rPr>
          <w:rFonts w:eastAsiaTheme="minorEastAsia"/>
          <w:i/>
          <w:color w:val="000000" w:themeColor="text1"/>
          <w:kern w:val="24"/>
          <w:sz w:val="24"/>
          <w:szCs w:val="24"/>
        </w:rPr>
        <w:t>Accountability</w:t>
      </w:r>
    </w:p>
    <w:p w:rsidR="0018025F" w:rsidRPr="00B91D1D" w:rsidRDefault="0018025F" w:rsidP="00DC3A7C">
      <w:pPr>
        <w:spacing w:line="240" w:lineRule="auto"/>
        <w:rPr>
          <w:rFonts w:eastAsiaTheme="minorEastAsia"/>
          <w:color w:val="000000" w:themeColor="text1"/>
          <w:kern w:val="24"/>
          <w:sz w:val="24"/>
          <w:szCs w:val="24"/>
        </w:rPr>
      </w:pPr>
      <w:r w:rsidRPr="00B91D1D">
        <w:rPr>
          <w:rFonts w:eastAsiaTheme="minorEastAsia"/>
          <w:color w:val="000000" w:themeColor="text1"/>
          <w:kern w:val="24"/>
          <w:sz w:val="24"/>
          <w:szCs w:val="24"/>
        </w:rPr>
        <w:t>In order to better understan</w:t>
      </w:r>
      <w:r w:rsidR="00E417D0" w:rsidRPr="00B91D1D">
        <w:rPr>
          <w:rFonts w:eastAsiaTheme="minorEastAsia"/>
          <w:color w:val="000000" w:themeColor="text1"/>
          <w:kern w:val="24"/>
          <w:sz w:val="24"/>
          <w:szCs w:val="24"/>
        </w:rPr>
        <w:t>d attitudes about the perceived need to involve the</w:t>
      </w:r>
      <w:r w:rsidRPr="00B91D1D">
        <w:rPr>
          <w:rFonts w:eastAsiaTheme="minorEastAsia"/>
          <w:color w:val="000000" w:themeColor="text1"/>
          <w:kern w:val="24"/>
          <w:sz w:val="24"/>
          <w:szCs w:val="24"/>
        </w:rPr>
        <w:t xml:space="preserve"> general public</w:t>
      </w:r>
      <w:r w:rsidR="00E417D0" w:rsidRPr="00B91D1D">
        <w:rPr>
          <w:rFonts w:eastAsiaTheme="minorEastAsia"/>
          <w:color w:val="000000" w:themeColor="text1"/>
          <w:kern w:val="24"/>
          <w:sz w:val="24"/>
          <w:szCs w:val="24"/>
        </w:rPr>
        <w:t xml:space="preserve"> in public-private partnerships</w:t>
      </w:r>
      <w:r w:rsidRPr="00B91D1D">
        <w:rPr>
          <w:rFonts w:eastAsiaTheme="minorEastAsia"/>
          <w:color w:val="000000" w:themeColor="text1"/>
          <w:kern w:val="24"/>
          <w:sz w:val="24"/>
          <w:szCs w:val="24"/>
        </w:rPr>
        <w:t xml:space="preserve">, planners we asked if the agreed with the following statement: </w:t>
      </w:r>
      <w:r w:rsidR="0060571B">
        <w:rPr>
          <w:rFonts w:eastAsiaTheme="minorEastAsia"/>
          <w:color w:val="000000" w:themeColor="text1"/>
          <w:kern w:val="24"/>
          <w:sz w:val="24"/>
          <w:szCs w:val="24"/>
        </w:rPr>
        <w:t>“</w:t>
      </w:r>
      <w:r w:rsidRPr="00B91D1D">
        <w:rPr>
          <w:rFonts w:eastAsiaTheme="minorEastAsia"/>
          <w:color w:val="000000" w:themeColor="text1"/>
          <w:kern w:val="24"/>
          <w:sz w:val="24"/>
          <w:szCs w:val="24"/>
        </w:rPr>
        <w:t>Successful public-private partnerships requi</w:t>
      </w:r>
      <w:r w:rsidR="00FE2F39" w:rsidRPr="00B91D1D">
        <w:rPr>
          <w:rFonts w:eastAsiaTheme="minorEastAsia"/>
          <w:color w:val="000000" w:themeColor="text1"/>
          <w:kern w:val="24"/>
          <w:sz w:val="24"/>
          <w:szCs w:val="24"/>
        </w:rPr>
        <w:t xml:space="preserve">re substantial input from the </w:t>
      </w:r>
      <w:r w:rsidRPr="00B91D1D">
        <w:rPr>
          <w:rFonts w:eastAsiaTheme="minorEastAsia"/>
          <w:color w:val="000000" w:themeColor="text1"/>
          <w:kern w:val="24"/>
          <w:sz w:val="24"/>
          <w:szCs w:val="24"/>
        </w:rPr>
        <w:t>general public</w:t>
      </w:r>
      <w:r w:rsidR="00E417D0" w:rsidRPr="00B91D1D">
        <w:rPr>
          <w:rFonts w:eastAsiaTheme="minorEastAsia"/>
          <w:color w:val="000000" w:themeColor="text1"/>
          <w:kern w:val="24"/>
          <w:sz w:val="24"/>
          <w:szCs w:val="24"/>
        </w:rPr>
        <w:t>.”</w:t>
      </w:r>
      <w:r w:rsidR="00FE2F39" w:rsidRPr="00B91D1D">
        <w:rPr>
          <w:rFonts w:eastAsiaTheme="minorEastAsia"/>
          <w:color w:val="000000" w:themeColor="text1"/>
          <w:kern w:val="24"/>
          <w:sz w:val="24"/>
          <w:szCs w:val="24"/>
        </w:rPr>
        <w:t xml:space="preserve"> </w:t>
      </w:r>
      <w:r w:rsidR="0060571B">
        <w:rPr>
          <w:rFonts w:eastAsiaTheme="minorEastAsia"/>
          <w:color w:val="000000" w:themeColor="text1"/>
          <w:kern w:val="24"/>
          <w:sz w:val="24"/>
          <w:szCs w:val="24"/>
        </w:rPr>
        <w:t>While the majority of planner agreed (85 percent) with this statement, w</w:t>
      </w:r>
      <w:r w:rsidR="00FE2F39" w:rsidRPr="00B91D1D">
        <w:rPr>
          <w:rFonts w:eastAsiaTheme="minorEastAsia"/>
          <w:color w:val="000000" w:themeColor="text1"/>
          <w:kern w:val="24"/>
          <w:sz w:val="24"/>
          <w:szCs w:val="24"/>
        </w:rPr>
        <w:t xml:space="preserve">e found that only if the planner identified with being a </w:t>
      </w:r>
      <w:r w:rsidR="0060571B">
        <w:rPr>
          <w:rFonts w:eastAsiaTheme="minorEastAsia"/>
          <w:color w:val="000000" w:themeColor="text1"/>
          <w:kern w:val="24"/>
          <w:sz w:val="24"/>
          <w:szCs w:val="24"/>
        </w:rPr>
        <w:t>“</w:t>
      </w:r>
      <w:r w:rsidR="00FE2F39" w:rsidRPr="00B91D1D">
        <w:rPr>
          <w:rFonts w:eastAsiaTheme="minorEastAsia"/>
          <w:color w:val="000000" w:themeColor="text1"/>
          <w:kern w:val="24"/>
          <w:sz w:val="24"/>
          <w:szCs w:val="24"/>
        </w:rPr>
        <w:t>liberal</w:t>
      </w:r>
      <w:r w:rsidR="0060571B">
        <w:rPr>
          <w:rFonts w:eastAsiaTheme="minorEastAsia"/>
          <w:color w:val="000000" w:themeColor="text1"/>
          <w:kern w:val="24"/>
          <w:sz w:val="24"/>
          <w:szCs w:val="24"/>
        </w:rPr>
        <w:t>”</w:t>
      </w:r>
      <w:r w:rsidR="00FE2F39" w:rsidRPr="00B91D1D">
        <w:rPr>
          <w:rFonts w:eastAsiaTheme="minorEastAsia"/>
          <w:color w:val="000000" w:themeColor="text1"/>
          <w:kern w:val="24"/>
          <w:sz w:val="24"/>
          <w:szCs w:val="24"/>
        </w:rPr>
        <w:t xml:space="preserve"> or</w:t>
      </w:r>
      <w:r w:rsidR="0060571B">
        <w:rPr>
          <w:rFonts w:eastAsiaTheme="minorEastAsia"/>
          <w:color w:val="000000" w:themeColor="text1"/>
          <w:kern w:val="24"/>
          <w:sz w:val="24"/>
          <w:szCs w:val="24"/>
        </w:rPr>
        <w:t xml:space="preserve"> “</w:t>
      </w:r>
      <w:r w:rsidR="00FE2F39" w:rsidRPr="00B91D1D">
        <w:rPr>
          <w:rFonts w:eastAsiaTheme="minorEastAsia"/>
          <w:color w:val="000000" w:themeColor="text1"/>
          <w:kern w:val="24"/>
          <w:sz w:val="24"/>
          <w:szCs w:val="24"/>
        </w:rPr>
        <w:t>moderate</w:t>
      </w:r>
      <w:r w:rsidR="0060571B">
        <w:rPr>
          <w:rFonts w:eastAsiaTheme="minorEastAsia"/>
          <w:color w:val="000000" w:themeColor="text1"/>
          <w:kern w:val="24"/>
          <w:sz w:val="24"/>
          <w:szCs w:val="24"/>
        </w:rPr>
        <w:t>”</w:t>
      </w:r>
      <w:r w:rsidR="00FE2F39" w:rsidRPr="00B91D1D">
        <w:rPr>
          <w:rFonts w:eastAsiaTheme="minorEastAsia"/>
          <w:color w:val="000000" w:themeColor="text1"/>
          <w:kern w:val="24"/>
          <w:sz w:val="24"/>
          <w:szCs w:val="24"/>
        </w:rPr>
        <w:t xml:space="preserve"> were the</w:t>
      </w:r>
      <w:r w:rsidR="0060571B">
        <w:rPr>
          <w:rFonts w:eastAsiaTheme="minorEastAsia"/>
          <w:color w:val="000000" w:themeColor="text1"/>
          <w:kern w:val="24"/>
          <w:sz w:val="24"/>
          <w:szCs w:val="24"/>
        </w:rPr>
        <w:t>y even more likely to strongly agree with this s</w:t>
      </w:r>
      <w:r w:rsidR="000A249E">
        <w:rPr>
          <w:rFonts w:eastAsiaTheme="minorEastAsia"/>
          <w:color w:val="000000" w:themeColor="text1"/>
          <w:kern w:val="24"/>
          <w:sz w:val="24"/>
          <w:szCs w:val="24"/>
        </w:rPr>
        <w:t>tatement (See table 2).</w:t>
      </w:r>
    </w:p>
    <w:p w:rsidR="0018025F" w:rsidRPr="00B91D1D" w:rsidRDefault="0018025F" w:rsidP="00DC3A7C">
      <w:pPr>
        <w:spacing w:line="240" w:lineRule="auto"/>
        <w:rPr>
          <w:rFonts w:eastAsiaTheme="minorEastAsia"/>
          <w:i/>
          <w:color w:val="000000" w:themeColor="text1"/>
          <w:kern w:val="24"/>
          <w:sz w:val="24"/>
          <w:szCs w:val="24"/>
        </w:rPr>
      </w:pPr>
      <w:r w:rsidRPr="00B91D1D">
        <w:rPr>
          <w:rFonts w:eastAsiaTheme="minorEastAsia"/>
          <w:i/>
          <w:color w:val="000000" w:themeColor="text1"/>
          <w:kern w:val="24"/>
          <w:sz w:val="24"/>
          <w:szCs w:val="24"/>
        </w:rPr>
        <w:t>Transaction Costs</w:t>
      </w:r>
    </w:p>
    <w:p w:rsidR="0018025F" w:rsidRPr="00B91D1D" w:rsidRDefault="0018025F" w:rsidP="00DC3A7C">
      <w:pPr>
        <w:spacing w:line="240" w:lineRule="auto"/>
        <w:rPr>
          <w:rFonts w:eastAsiaTheme="minorEastAsia"/>
          <w:color w:val="000000" w:themeColor="text1"/>
          <w:kern w:val="24"/>
          <w:sz w:val="24"/>
          <w:szCs w:val="24"/>
        </w:rPr>
      </w:pPr>
      <w:r w:rsidRPr="00B91D1D">
        <w:rPr>
          <w:rFonts w:eastAsiaTheme="minorEastAsia"/>
          <w:color w:val="000000" w:themeColor="text1"/>
          <w:kern w:val="24"/>
          <w:sz w:val="24"/>
          <w:szCs w:val="24"/>
        </w:rPr>
        <w:t>Planners were asked if they agreed about how transaction costs affected the adoption of public-private partnerships using two statements: “The cost of monitoring the activities of developers discourages local government from participating in public-private partnerships” and “The cost of negotiating contracts discourages local governments from participating in public private partnerships.”</w:t>
      </w:r>
      <w:r w:rsidR="00FE2F39" w:rsidRPr="00B91D1D">
        <w:rPr>
          <w:rFonts w:eastAsiaTheme="minorEastAsia"/>
          <w:color w:val="000000" w:themeColor="text1"/>
          <w:kern w:val="24"/>
          <w:sz w:val="24"/>
          <w:szCs w:val="24"/>
        </w:rPr>
        <w:t xml:space="preserve"> </w:t>
      </w:r>
      <w:r w:rsidR="006A5A65">
        <w:rPr>
          <w:rFonts w:eastAsiaTheme="minorEastAsia"/>
          <w:color w:val="000000" w:themeColor="text1"/>
          <w:kern w:val="24"/>
          <w:sz w:val="24"/>
          <w:szCs w:val="24"/>
        </w:rPr>
        <w:t>Planners were much more split about whether they agreed or disagreed with these statements.  For monitoring and negotiating costs, only about half of the planners surveyed agreed that they discouraged public-private partnerships</w:t>
      </w:r>
      <w:r w:rsidR="00F039B0">
        <w:rPr>
          <w:rFonts w:eastAsiaTheme="minorEastAsia"/>
          <w:color w:val="000000" w:themeColor="text1"/>
          <w:kern w:val="24"/>
          <w:sz w:val="24"/>
          <w:szCs w:val="24"/>
        </w:rPr>
        <w:t xml:space="preserve"> (See table 2)</w:t>
      </w:r>
      <w:r w:rsidR="006A5A65">
        <w:rPr>
          <w:rFonts w:eastAsiaTheme="minorEastAsia"/>
          <w:color w:val="000000" w:themeColor="text1"/>
          <w:kern w:val="24"/>
          <w:sz w:val="24"/>
          <w:szCs w:val="24"/>
        </w:rPr>
        <w:t>. O</w:t>
      </w:r>
      <w:r w:rsidR="00FE2F39" w:rsidRPr="00B91D1D">
        <w:rPr>
          <w:rFonts w:eastAsiaTheme="minorEastAsia"/>
          <w:color w:val="000000" w:themeColor="text1"/>
          <w:kern w:val="24"/>
          <w:sz w:val="24"/>
          <w:szCs w:val="24"/>
        </w:rPr>
        <w:t xml:space="preserve">lder more educated planners were more likely to </w:t>
      </w:r>
      <w:r w:rsidR="00FE2F39" w:rsidRPr="006A5A65">
        <w:rPr>
          <w:rFonts w:eastAsiaTheme="minorEastAsia"/>
          <w:i/>
          <w:color w:val="000000" w:themeColor="text1"/>
          <w:kern w:val="24"/>
          <w:sz w:val="24"/>
          <w:szCs w:val="24"/>
        </w:rPr>
        <w:t xml:space="preserve">disagree </w:t>
      </w:r>
      <w:r w:rsidR="00FE2F39" w:rsidRPr="00B91D1D">
        <w:rPr>
          <w:rFonts w:eastAsiaTheme="minorEastAsia"/>
          <w:color w:val="000000" w:themeColor="text1"/>
          <w:kern w:val="24"/>
          <w:sz w:val="24"/>
          <w:szCs w:val="24"/>
        </w:rPr>
        <w:t>that monitoring and negotiating costs were problematic.</w:t>
      </w:r>
      <w:r w:rsidRPr="00B91D1D">
        <w:rPr>
          <w:rFonts w:eastAsiaTheme="minorEastAsia"/>
          <w:color w:val="000000" w:themeColor="text1"/>
          <w:kern w:val="24"/>
          <w:sz w:val="24"/>
          <w:szCs w:val="24"/>
        </w:rPr>
        <w:t xml:space="preserve"> </w:t>
      </w:r>
      <w:r w:rsidR="006A5A65">
        <w:rPr>
          <w:rFonts w:eastAsiaTheme="minorEastAsia"/>
          <w:color w:val="000000" w:themeColor="text1"/>
          <w:kern w:val="24"/>
          <w:sz w:val="24"/>
          <w:szCs w:val="24"/>
        </w:rPr>
        <w:t xml:space="preserve"> In other words, they did not believe that the transaction costs associated with monitoring and negotiating public-private partnerships were impediments in the process.</w:t>
      </w:r>
    </w:p>
    <w:p w:rsidR="0018025F" w:rsidRPr="00B91D1D" w:rsidRDefault="0018025F" w:rsidP="00DC3A7C">
      <w:pPr>
        <w:spacing w:line="240" w:lineRule="auto"/>
        <w:rPr>
          <w:rFonts w:eastAsiaTheme="minorEastAsia"/>
          <w:i/>
          <w:color w:val="000000" w:themeColor="text1"/>
          <w:kern w:val="24"/>
          <w:sz w:val="24"/>
          <w:szCs w:val="24"/>
        </w:rPr>
      </w:pPr>
      <w:r w:rsidRPr="00B91D1D">
        <w:rPr>
          <w:rFonts w:eastAsiaTheme="minorEastAsia"/>
          <w:i/>
          <w:color w:val="000000" w:themeColor="text1"/>
          <w:kern w:val="24"/>
          <w:sz w:val="24"/>
          <w:szCs w:val="24"/>
        </w:rPr>
        <w:t>Social Equity</w:t>
      </w:r>
    </w:p>
    <w:p w:rsidR="0018025F" w:rsidRPr="00B91D1D" w:rsidRDefault="0018025F" w:rsidP="00DC3A7C">
      <w:pPr>
        <w:spacing w:line="240" w:lineRule="auto"/>
        <w:rPr>
          <w:rFonts w:eastAsiaTheme="minorEastAsia"/>
          <w:color w:val="000000" w:themeColor="text1"/>
          <w:kern w:val="24"/>
          <w:sz w:val="24"/>
          <w:szCs w:val="24"/>
        </w:rPr>
      </w:pPr>
      <w:r w:rsidRPr="00B91D1D">
        <w:rPr>
          <w:rFonts w:eastAsiaTheme="minorEastAsia"/>
          <w:color w:val="000000" w:themeColor="text1"/>
          <w:kern w:val="24"/>
          <w:sz w:val="24"/>
          <w:szCs w:val="24"/>
        </w:rPr>
        <w:t xml:space="preserve">Finally we asked planners about the use of public-private partnerships to benefit the economic disadvantaged and to encourage socio-economic diversity. </w:t>
      </w:r>
      <w:r w:rsidR="006A5A65">
        <w:rPr>
          <w:rFonts w:eastAsiaTheme="minorEastAsia"/>
          <w:color w:val="000000" w:themeColor="text1"/>
          <w:kern w:val="24"/>
          <w:sz w:val="24"/>
          <w:szCs w:val="24"/>
        </w:rPr>
        <w:t xml:space="preserve"> Again, planners overall were split about whether they agreed or disagreed with this statement</w:t>
      </w:r>
      <w:r w:rsidR="00F039B0">
        <w:rPr>
          <w:rFonts w:eastAsiaTheme="minorEastAsia"/>
          <w:color w:val="000000" w:themeColor="text1"/>
          <w:kern w:val="24"/>
          <w:sz w:val="24"/>
          <w:szCs w:val="24"/>
        </w:rPr>
        <w:t xml:space="preserve"> (See table 2)</w:t>
      </w:r>
      <w:r w:rsidR="006A5A65">
        <w:rPr>
          <w:rFonts w:eastAsiaTheme="minorEastAsia"/>
          <w:color w:val="000000" w:themeColor="text1"/>
          <w:kern w:val="24"/>
          <w:sz w:val="24"/>
          <w:szCs w:val="24"/>
        </w:rPr>
        <w:t xml:space="preserve">. </w:t>
      </w:r>
      <w:r w:rsidR="00FE2F39" w:rsidRPr="00B91D1D">
        <w:rPr>
          <w:rFonts w:eastAsiaTheme="minorEastAsia"/>
          <w:color w:val="000000" w:themeColor="text1"/>
          <w:kern w:val="24"/>
          <w:sz w:val="24"/>
          <w:szCs w:val="24"/>
        </w:rPr>
        <w:t xml:space="preserve">Moderate, </w:t>
      </w:r>
      <w:r w:rsidR="00301F15" w:rsidRPr="00B91D1D">
        <w:rPr>
          <w:rFonts w:eastAsiaTheme="minorEastAsia"/>
          <w:color w:val="000000" w:themeColor="text1"/>
          <w:kern w:val="24"/>
          <w:sz w:val="24"/>
          <w:szCs w:val="24"/>
        </w:rPr>
        <w:t xml:space="preserve">younger and </w:t>
      </w:r>
      <w:r w:rsidR="001A5232" w:rsidRPr="00B91D1D">
        <w:rPr>
          <w:rFonts w:eastAsiaTheme="minorEastAsia"/>
          <w:color w:val="000000" w:themeColor="text1"/>
          <w:kern w:val="24"/>
          <w:sz w:val="24"/>
          <w:szCs w:val="24"/>
        </w:rPr>
        <w:t>Caucasian</w:t>
      </w:r>
      <w:r w:rsidR="00301F15" w:rsidRPr="00B91D1D">
        <w:rPr>
          <w:rFonts w:eastAsiaTheme="minorEastAsia"/>
          <w:color w:val="000000" w:themeColor="text1"/>
          <w:kern w:val="24"/>
          <w:sz w:val="24"/>
          <w:szCs w:val="24"/>
        </w:rPr>
        <w:t xml:space="preserve"> planners</w:t>
      </w:r>
      <w:r w:rsidR="00FE2F39" w:rsidRPr="00B91D1D">
        <w:rPr>
          <w:rFonts w:eastAsiaTheme="minorEastAsia"/>
          <w:color w:val="000000" w:themeColor="text1"/>
          <w:kern w:val="24"/>
          <w:sz w:val="24"/>
          <w:szCs w:val="24"/>
        </w:rPr>
        <w:t xml:space="preserve"> were less skeptical about public private partnerships benefitting disadvantaged groups and encourage diversity </w:t>
      </w:r>
    </w:p>
    <w:p w:rsidR="0018025F" w:rsidRPr="00B91D1D" w:rsidRDefault="0018025F" w:rsidP="00DC3A7C">
      <w:pPr>
        <w:spacing w:line="240" w:lineRule="auto"/>
        <w:rPr>
          <w:rFonts w:eastAsiaTheme="minorEastAsia"/>
          <w:b/>
          <w:color w:val="000000" w:themeColor="text1"/>
          <w:kern w:val="24"/>
          <w:sz w:val="24"/>
          <w:szCs w:val="24"/>
        </w:rPr>
      </w:pPr>
      <w:r w:rsidRPr="00B91D1D">
        <w:rPr>
          <w:rFonts w:eastAsiaTheme="minorEastAsia"/>
          <w:b/>
          <w:color w:val="000000" w:themeColor="text1"/>
          <w:kern w:val="24"/>
          <w:sz w:val="24"/>
          <w:szCs w:val="24"/>
        </w:rPr>
        <w:t>Conclusions</w:t>
      </w:r>
    </w:p>
    <w:p w:rsidR="0018025F" w:rsidRPr="00F039B0" w:rsidRDefault="00F039B0" w:rsidP="00DC3A7C">
      <w:pPr>
        <w:spacing w:before="100" w:beforeAutospacing="1" w:after="100" w:afterAutospacing="1" w:line="240" w:lineRule="auto"/>
        <w:rPr>
          <w:rFonts w:ascii="Times New Roman" w:hAnsi="Times New Roman" w:cs="Times New Roman"/>
          <w:sz w:val="24"/>
          <w:szCs w:val="24"/>
        </w:rPr>
      </w:pPr>
      <w:r>
        <w:rPr>
          <w:rFonts w:eastAsiaTheme="minorEastAsia"/>
          <w:color w:val="000000" w:themeColor="text1"/>
          <w:kern w:val="24"/>
          <w:sz w:val="24"/>
          <w:szCs w:val="24"/>
        </w:rPr>
        <w:t>This piece demonstrates the importance of understanding individual</w:t>
      </w:r>
      <w:r w:rsidRPr="00B91D1D">
        <w:rPr>
          <w:rFonts w:eastAsiaTheme="minorEastAsia"/>
          <w:color w:val="000000" w:themeColor="text1"/>
          <w:kern w:val="24"/>
          <w:sz w:val="24"/>
          <w:szCs w:val="24"/>
        </w:rPr>
        <w:t xml:space="preserve"> values </w:t>
      </w:r>
      <w:r>
        <w:rPr>
          <w:rFonts w:eastAsiaTheme="minorEastAsia"/>
          <w:color w:val="000000" w:themeColor="text1"/>
          <w:kern w:val="24"/>
          <w:sz w:val="24"/>
          <w:szCs w:val="24"/>
        </w:rPr>
        <w:t xml:space="preserve">in order to </w:t>
      </w:r>
      <w:r w:rsidRPr="00B91D1D">
        <w:rPr>
          <w:rFonts w:eastAsiaTheme="minorEastAsia"/>
          <w:color w:val="000000" w:themeColor="text1"/>
          <w:kern w:val="24"/>
          <w:sz w:val="24"/>
          <w:szCs w:val="24"/>
        </w:rPr>
        <w:t xml:space="preserve">help improve overall trust and collaboration in both sectors.  </w:t>
      </w:r>
      <w:r>
        <w:rPr>
          <w:rFonts w:eastAsiaTheme="minorEastAsia"/>
          <w:color w:val="000000" w:themeColor="text1"/>
          <w:kern w:val="24"/>
          <w:sz w:val="24"/>
          <w:szCs w:val="24"/>
        </w:rPr>
        <w:t>Overall, this study find</w:t>
      </w:r>
      <w:r w:rsidR="0018025F" w:rsidRPr="00B91D1D">
        <w:rPr>
          <w:rFonts w:eastAsiaTheme="minorEastAsia"/>
          <w:color w:val="000000" w:themeColor="text1"/>
          <w:kern w:val="24"/>
          <w:sz w:val="24"/>
          <w:szCs w:val="24"/>
        </w:rPr>
        <w:t xml:space="preserve">s that Planners’ were uniformly in favor of local governments seeking out PPPs and involving the general public in their formation.  However, planners varied greatly in their attitudes about barriers/benefits of such partnerships depending on professional/personal attributes (ideology, race, gender, age). </w:t>
      </w:r>
      <w:r w:rsidR="001A5232" w:rsidRPr="00B91D1D">
        <w:rPr>
          <w:rFonts w:eastAsiaTheme="minorEastAsia"/>
          <w:color w:val="000000" w:themeColor="text1"/>
          <w:kern w:val="24"/>
          <w:sz w:val="24"/>
          <w:szCs w:val="24"/>
        </w:rPr>
        <w:t xml:space="preserve"> </w:t>
      </w:r>
      <w:r w:rsidR="0018025F" w:rsidRPr="00B91D1D">
        <w:rPr>
          <w:rFonts w:eastAsiaTheme="minorEastAsia"/>
          <w:color w:val="000000" w:themeColor="text1"/>
          <w:kern w:val="24"/>
          <w:sz w:val="24"/>
          <w:szCs w:val="24"/>
        </w:rPr>
        <w:t xml:space="preserve">Public sector planners </w:t>
      </w:r>
      <w:r w:rsidR="001A5232" w:rsidRPr="00B91D1D">
        <w:rPr>
          <w:rFonts w:eastAsiaTheme="minorEastAsia"/>
          <w:color w:val="000000" w:themeColor="text1"/>
          <w:kern w:val="24"/>
          <w:sz w:val="24"/>
          <w:szCs w:val="24"/>
        </w:rPr>
        <w:t xml:space="preserve">are </w:t>
      </w:r>
      <w:r w:rsidR="0018025F" w:rsidRPr="00B91D1D">
        <w:rPr>
          <w:rFonts w:eastAsiaTheme="minorEastAsia"/>
          <w:color w:val="000000" w:themeColor="text1"/>
          <w:kern w:val="24"/>
          <w:sz w:val="24"/>
          <w:szCs w:val="24"/>
        </w:rPr>
        <w:t xml:space="preserve">less supportive of these efforts on the part of governments to actively pursue these relationships. </w:t>
      </w:r>
      <w:r>
        <w:rPr>
          <w:rFonts w:ascii="Times New Roman" w:eastAsia="Times New Roman" w:hAnsi="Times New Roman" w:cs="Times New Roman"/>
          <w:sz w:val="24"/>
          <w:szCs w:val="24"/>
        </w:rPr>
        <w:t xml:space="preserve">The results of the empirical analysis </w:t>
      </w:r>
      <w:r>
        <w:rPr>
          <w:rFonts w:ascii="Times New Roman" w:hAnsi="Times New Roman" w:cs="Times New Roman"/>
          <w:sz w:val="24"/>
          <w:szCs w:val="24"/>
        </w:rPr>
        <w:t xml:space="preserve">suggest diversity in the planning profession is one means of ensuring citizen preferences are taken into account when public-private partnerships are formed because attitudinal differences appear to exist across planners with diverse demographic characteristics.  The potential impact of diversity in the planning </w:t>
      </w:r>
      <w:r>
        <w:rPr>
          <w:rFonts w:ascii="Times New Roman" w:hAnsi="Times New Roman" w:cs="Times New Roman"/>
          <w:sz w:val="24"/>
          <w:szCs w:val="24"/>
        </w:rPr>
        <w:lastRenderedPageBreak/>
        <w:t xml:space="preserve">profession must, however, be evaluated in conjunction with attitudes about the appropriate role of government in real estate development projects.  </w:t>
      </w:r>
    </w:p>
    <w:p w:rsidR="0018025F" w:rsidRPr="00B91D1D" w:rsidRDefault="0018025F" w:rsidP="00B91D1D">
      <w:pPr>
        <w:spacing w:line="480" w:lineRule="auto"/>
        <w:rPr>
          <w:sz w:val="24"/>
          <w:szCs w:val="24"/>
        </w:rPr>
      </w:pPr>
    </w:p>
    <w:p w:rsidR="0018025F" w:rsidRPr="00B91D1D" w:rsidRDefault="0018025F" w:rsidP="00B91D1D">
      <w:pPr>
        <w:spacing w:line="480" w:lineRule="auto"/>
        <w:rPr>
          <w:rFonts w:eastAsiaTheme="minorEastAsia"/>
          <w:color w:val="000000" w:themeColor="text1"/>
          <w:kern w:val="24"/>
          <w:sz w:val="24"/>
          <w:szCs w:val="24"/>
        </w:rPr>
      </w:pPr>
    </w:p>
    <w:p w:rsidR="0018025F" w:rsidRPr="00B91D1D" w:rsidRDefault="0018025F" w:rsidP="00B91D1D">
      <w:pPr>
        <w:spacing w:line="480" w:lineRule="auto"/>
        <w:rPr>
          <w:sz w:val="24"/>
          <w:szCs w:val="24"/>
        </w:rPr>
      </w:pPr>
    </w:p>
    <w:sectPr w:rsidR="0018025F" w:rsidRPr="00B91D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8B" w:rsidRDefault="006D1A8B" w:rsidP="000A249E">
      <w:pPr>
        <w:spacing w:after="0" w:line="240" w:lineRule="auto"/>
      </w:pPr>
      <w:r>
        <w:separator/>
      </w:r>
    </w:p>
  </w:endnote>
  <w:endnote w:type="continuationSeparator" w:id="0">
    <w:p w:rsidR="006D1A8B" w:rsidRDefault="006D1A8B" w:rsidP="000A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8B" w:rsidRDefault="006D1A8B" w:rsidP="000A249E">
      <w:pPr>
        <w:spacing w:after="0" w:line="240" w:lineRule="auto"/>
      </w:pPr>
      <w:r>
        <w:separator/>
      </w:r>
    </w:p>
  </w:footnote>
  <w:footnote w:type="continuationSeparator" w:id="0">
    <w:p w:rsidR="006D1A8B" w:rsidRDefault="006D1A8B" w:rsidP="000A249E">
      <w:pPr>
        <w:spacing w:after="0" w:line="240" w:lineRule="auto"/>
      </w:pPr>
      <w:r>
        <w:continuationSeparator/>
      </w:r>
    </w:p>
  </w:footnote>
  <w:footnote w:id="1">
    <w:p w:rsidR="000A249E" w:rsidRDefault="000A249E" w:rsidP="000A249E">
      <w:pPr>
        <w:pStyle w:val="FootnoteText"/>
      </w:pPr>
      <w:r>
        <w:rPr>
          <w:rStyle w:val="FootnoteReference"/>
        </w:rPr>
        <w:footnoteRef/>
      </w:r>
      <w:r>
        <w:t xml:space="preserve"> Results rounded to the nearest full digit, entire sample.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75658"/>
    <w:multiLevelType w:val="hybridMultilevel"/>
    <w:tmpl w:val="7556BF6A"/>
    <w:lvl w:ilvl="0" w:tplc="EEF01046">
      <w:start w:val="1"/>
      <w:numFmt w:val="bullet"/>
      <w:lvlText w:val="•"/>
      <w:lvlJc w:val="left"/>
      <w:pPr>
        <w:tabs>
          <w:tab w:val="num" w:pos="720"/>
        </w:tabs>
        <w:ind w:left="720" w:hanging="360"/>
      </w:pPr>
      <w:rPr>
        <w:rFonts w:ascii="Arial" w:hAnsi="Arial" w:hint="default"/>
      </w:rPr>
    </w:lvl>
    <w:lvl w:ilvl="1" w:tplc="C80E656C">
      <w:start w:val="1"/>
      <w:numFmt w:val="bullet"/>
      <w:lvlText w:val="•"/>
      <w:lvlJc w:val="left"/>
      <w:pPr>
        <w:tabs>
          <w:tab w:val="num" w:pos="1440"/>
        </w:tabs>
        <w:ind w:left="1440" w:hanging="360"/>
      </w:pPr>
      <w:rPr>
        <w:rFonts w:ascii="Arial" w:hAnsi="Arial" w:hint="default"/>
      </w:rPr>
    </w:lvl>
    <w:lvl w:ilvl="2" w:tplc="5D88C77A" w:tentative="1">
      <w:start w:val="1"/>
      <w:numFmt w:val="bullet"/>
      <w:lvlText w:val="•"/>
      <w:lvlJc w:val="left"/>
      <w:pPr>
        <w:tabs>
          <w:tab w:val="num" w:pos="2160"/>
        </w:tabs>
        <w:ind w:left="2160" w:hanging="360"/>
      </w:pPr>
      <w:rPr>
        <w:rFonts w:ascii="Arial" w:hAnsi="Arial" w:hint="default"/>
      </w:rPr>
    </w:lvl>
    <w:lvl w:ilvl="3" w:tplc="406AB41C" w:tentative="1">
      <w:start w:val="1"/>
      <w:numFmt w:val="bullet"/>
      <w:lvlText w:val="•"/>
      <w:lvlJc w:val="left"/>
      <w:pPr>
        <w:tabs>
          <w:tab w:val="num" w:pos="2880"/>
        </w:tabs>
        <w:ind w:left="2880" w:hanging="360"/>
      </w:pPr>
      <w:rPr>
        <w:rFonts w:ascii="Arial" w:hAnsi="Arial" w:hint="default"/>
      </w:rPr>
    </w:lvl>
    <w:lvl w:ilvl="4" w:tplc="12D60EB4" w:tentative="1">
      <w:start w:val="1"/>
      <w:numFmt w:val="bullet"/>
      <w:lvlText w:val="•"/>
      <w:lvlJc w:val="left"/>
      <w:pPr>
        <w:tabs>
          <w:tab w:val="num" w:pos="3600"/>
        </w:tabs>
        <w:ind w:left="3600" w:hanging="360"/>
      </w:pPr>
      <w:rPr>
        <w:rFonts w:ascii="Arial" w:hAnsi="Arial" w:hint="default"/>
      </w:rPr>
    </w:lvl>
    <w:lvl w:ilvl="5" w:tplc="832CB938" w:tentative="1">
      <w:start w:val="1"/>
      <w:numFmt w:val="bullet"/>
      <w:lvlText w:val="•"/>
      <w:lvlJc w:val="left"/>
      <w:pPr>
        <w:tabs>
          <w:tab w:val="num" w:pos="4320"/>
        </w:tabs>
        <w:ind w:left="4320" w:hanging="360"/>
      </w:pPr>
      <w:rPr>
        <w:rFonts w:ascii="Arial" w:hAnsi="Arial" w:hint="default"/>
      </w:rPr>
    </w:lvl>
    <w:lvl w:ilvl="6" w:tplc="41887BB0" w:tentative="1">
      <w:start w:val="1"/>
      <w:numFmt w:val="bullet"/>
      <w:lvlText w:val="•"/>
      <w:lvlJc w:val="left"/>
      <w:pPr>
        <w:tabs>
          <w:tab w:val="num" w:pos="5040"/>
        </w:tabs>
        <w:ind w:left="5040" w:hanging="360"/>
      </w:pPr>
      <w:rPr>
        <w:rFonts w:ascii="Arial" w:hAnsi="Arial" w:hint="default"/>
      </w:rPr>
    </w:lvl>
    <w:lvl w:ilvl="7" w:tplc="6F6284CC" w:tentative="1">
      <w:start w:val="1"/>
      <w:numFmt w:val="bullet"/>
      <w:lvlText w:val="•"/>
      <w:lvlJc w:val="left"/>
      <w:pPr>
        <w:tabs>
          <w:tab w:val="num" w:pos="5760"/>
        </w:tabs>
        <w:ind w:left="5760" w:hanging="360"/>
      </w:pPr>
      <w:rPr>
        <w:rFonts w:ascii="Arial" w:hAnsi="Arial" w:hint="default"/>
      </w:rPr>
    </w:lvl>
    <w:lvl w:ilvl="8" w:tplc="096CC1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5F"/>
    <w:rsid w:val="00063A1B"/>
    <w:rsid w:val="000A249E"/>
    <w:rsid w:val="000A56FC"/>
    <w:rsid w:val="0018025F"/>
    <w:rsid w:val="001A5232"/>
    <w:rsid w:val="0029780C"/>
    <w:rsid w:val="00301F15"/>
    <w:rsid w:val="00331377"/>
    <w:rsid w:val="00540599"/>
    <w:rsid w:val="0060571B"/>
    <w:rsid w:val="006A5A65"/>
    <w:rsid w:val="006D1A8B"/>
    <w:rsid w:val="00700D36"/>
    <w:rsid w:val="00785CA9"/>
    <w:rsid w:val="00816654"/>
    <w:rsid w:val="008A5F30"/>
    <w:rsid w:val="00902809"/>
    <w:rsid w:val="00917562"/>
    <w:rsid w:val="00AD4AB9"/>
    <w:rsid w:val="00B91D1D"/>
    <w:rsid w:val="00DC3A7C"/>
    <w:rsid w:val="00E417D0"/>
    <w:rsid w:val="00E97C89"/>
    <w:rsid w:val="00F039B0"/>
    <w:rsid w:val="00FE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5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025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A24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A249E"/>
    <w:rPr>
      <w:rFonts w:ascii="Times New Roman" w:eastAsia="Times New Roman" w:hAnsi="Times New Roman" w:cs="Times New Roman"/>
      <w:sz w:val="20"/>
      <w:szCs w:val="20"/>
    </w:rPr>
  </w:style>
  <w:style w:type="table" w:styleId="TableGrid">
    <w:name w:val="Table Grid"/>
    <w:basedOn w:val="TableNormal"/>
    <w:uiPriority w:val="59"/>
    <w:rsid w:val="000A24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249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0A249E"/>
    <w:rPr>
      <w:rFonts w:ascii="Calibri" w:hAnsi="Calibri" w:cs="Times New Roman"/>
      <w:sz w:val="20"/>
      <w:szCs w:val="20"/>
    </w:rPr>
  </w:style>
  <w:style w:type="character" w:styleId="FootnoteReference">
    <w:name w:val="footnote reference"/>
    <w:basedOn w:val="DefaultParagraphFont"/>
    <w:uiPriority w:val="99"/>
    <w:semiHidden/>
    <w:unhideWhenUsed/>
    <w:rsid w:val="000A24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25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8025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A249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0A249E"/>
    <w:rPr>
      <w:rFonts w:ascii="Times New Roman" w:eastAsia="Times New Roman" w:hAnsi="Times New Roman" w:cs="Times New Roman"/>
      <w:sz w:val="20"/>
      <w:szCs w:val="20"/>
    </w:rPr>
  </w:style>
  <w:style w:type="table" w:styleId="TableGrid">
    <w:name w:val="Table Grid"/>
    <w:basedOn w:val="TableNormal"/>
    <w:uiPriority w:val="59"/>
    <w:rsid w:val="000A249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249E"/>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0A249E"/>
    <w:rPr>
      <w:rFonts w:ascii="Calibri" w:hAnsi="Calibri" w:cs="Times New Roman"/>
      <w:sz w:val="20"/>
      <w:szCs w:val="20"/>
    </w:rPr>
  </w:style>
  <w:style w:type="character" w:styleId="FootnoteReference">
    <w:name w:val="footnote reference"/>
    <w:basedOn w:val="DefaultParagraphFont"/>
    <w:uiPriority w:val="99"/>
    <w:semiHidden/>
    <w:unhideWhenUsed/>
    <w:rsid w:val="000A2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80595">
      <w:bodyDiv w:val="1"/>
      <w:marLeft w:val="0"/>
      <w:marRight w:val="0"/>
      <w:marTop w:val="0"/>
      <w:marBottom w:val="0"/>
      <w:divBdr>
        <w:top w:val="none" w:sz="0" w:space="0" w:color="auto"/>
        <w:left w:val="none" w:sz="0" w:space="0" w:color="auto"/>
        <w:bottom w:val="none" w:sz="0" w:space="0" w:color="auto"/>
        <w:right w:val="none" w:sz="0" w:space="0" w:color="auto"/>
      </w:divBdr>
    </w:div>
    <w:div w:id="16293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2015-07-28T17:44:00Z</dcterms:created>
  <dcterms:modified xsi:type="dcterms:W3CDTF">2015-07-28T17:44:00Z</dcterms:modified>
</cp:coreProperties>
</file>